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41"/>
        <w:gridCol w:w="1238"/>
        <w:gridCol w:w="1424"/>
        <w:gridCol w:w="278"/>
        <w:gridCol w:w="752"/>
        <w:gridCol w:w="2185"/>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2D7A91">
              <w:rPr>
                <w:rFonts w:ascii="Arial" w:hAnsi="Arial" w:cs="Arial"/>
                <w:b/>
                <w:color w:val="0F243E" w:themeColor="text2" w:themeShade="80"/>
              </w:rPr>
              <w:t xml:space="preserve"> ADMINISTRACIÓN DE EMPRESAS</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6B35E5">
            <w:pPr>
              <w:rPr>
                <w:rFonts w:ascii="Arial" w:hAnsi="Arial" w:cs="Arial"/>
                <w:color w:val="0F243E" w:themeColor="text2" w:themeShade="80"/>
              </w:rPr>
            </w:pPr>
            <w:r w:rsidRPr="002D3F0D">
              <w:rPr>
                <w:rFonts w:ascii="Arial" w:hAnsi="Arial" w:cs="Arial"/>
                <w:color w:val="0F243E" w:themeColor="text2" w:themeShade="80"/>
              </w:rPr>
              <w:t>CAMPO:</w:t>
            </w:r>
            <w:r w:rsidR="006B35E5">
              <w:rPr>
                <w:rFonts w:ascii="Arial" w:hAnsi="Arial" w:cs="Arial"/>
                <w:color w:val="0F243E" w:themeColor="text2" w:themeShade="80"/>
              </w:rPr>
              <w:t xml:space="preserve"> Administración de empresas</w:t>
            </w:r>
            <w:bookmarkStart w:id="0" w:name="_GoBack"/>
            <w:bookmarkEnd w:id="0"/>
          </w:p>
        </w:tc>
        <w:tc>
          <w:tcPr>
            <w:tcW w:w="3135" w:type="dxa"/>
            <w:gridSpan w:val="3"/>
            <w:tcBorders>
              <w:top w:val="single" w:sz="4" w:space="0" w:color="auto"/>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2D7A91" w:rsidRPr="00C53FE2" w:rsidRDefault="002D7A91" w:rsidP="00CC21F3">
            <w:pPr>
              <w:rPr>
                <w:rFonts w:ascii="Arial" w:hAnsi="Arial" w:cs="Arial"/>
                <w:color w:val="0F243E" w:themeColor="text2" w:themeShade="80"/>
              </w:rPr>
            </w:pPr>
            <w:r>
              <w:rPr>
                <w:rFonts w:ascii="Arial" w:hAnsi="Arial" w:cs="Arial"/>
                <w:color w:val="0F243E" w:themeColor="text2" w:themeShade="80"/>
              </w:rPr>
              <w:t>OCTAVO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2D7A91">
              <w:rPr>
                <w:rFonts w:ascii="Arial" w:hAnsi="Arial" w:cs="Arial"/>
                <w:b/>
                <w:color w:val="0F243E" w:themeColor="text2" w:themeShade="80"/>
              </w:rPr>
              <w:t>SIMULACIÓN Y JUEGOS GERENCIALES</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2D7A91">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6"/>
        <w:gridCol w:w="872"/>
        <w:gridCol w:w="380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2D7A91">
              <w:rPr>
                <w:rFonts w:ascii="Arial" w:hAnsi="Arial" w:cs="Arial"/>
                <w:b/>
                <w:color w:val="0F243E" w:themeColor="text2" w:themeShade="80"/>
              </w:rPr>
              <w:t>2</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64"/>
        <w:gridCol w:w="2586"/>
        <w:gridCol w:w="3478"/>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2D7A91">
              <w:rPr>
                <w:rFonts w:ascii="Arial" w:hAnsi="Arial" w:cs="Arial"/>
                <w:color w:val="0F243E" w:themeColor="text2" w:themeShade="80"/>
              </w:rPr>
              <w:t>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2D7A91">
              <w:rPr>
                <w:rFonts w:ascii="Arial" w:hAnsi="Arial" w:cs="Arial"/>
                <w:color w:val="0F243E" w:themeColor="text2" w:themeShade="80"/>
              </w:rPr>
              <w:t>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ED662E">
              <w:rPr>
                <w:rFonts w:ascii="Arial" w:hAnsi="Arial" w:cs="Arial"/>
                <w:color w:val="0F243E" w:themeColor="text2" w:themeShade="80"/>
              </w:rPr>
              <w:t>1</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ED662E">
              <w:rPr>
                <w:rFonts w:ascii="Arial" w:hAnsi="Arial" w:cs="Arial"/>
                <w:color w:val="0F243E" w:themeColor="text2" w:themeShade="80"/>
              </w:rPr>
              <w:t>2</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2D7A91">
              <w:rPr>
                <w:rFonts w:ascii="Arial" w:hAnsi="Arial" w:cs="Arial"/>
                <w:color w:val="0F243E" w:themeColor="text2" w:themeShade="80"/>
              </w:rPr>
              <w:t>1</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Total Horas Semestre:</w:t>
            </w:r>
            <w:r w:rsidR="002D7A91">
              <w:rPr>
                <w:rFonts w:ascii="Arial" w:hAnsi="Arial" w:cs="Arial"/>
                <w:color w:val="0F243E" w:themeColor="text2" w:themeShade="80"/>
              </w:rPr>
              <w:t xml:space="preserve"> 64</w:t>
            </w:r>
            <w:r w:rsidRPr="002D3F0D">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38"/>
        <w:gridCol w:w="2597"/>
        <w:gridCol w:w="380"/>
        <w:gridCol w:w="3013"/>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CF549B">
              <w:rPr>
                <w:rFonts w:ascii="Arial" w:hAnsi="Arial" w:cs="Arial"/>
                <w:color w:val="0F243E" w:themeColor="text2" w:themeShade="80"/>
              </w:rPr>
              <w:t>4</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CF549B">
              <w:rPr>
                <w:rFonts w:ascii="Arial" w:hAnsi="Arial" w:cs="Arial"/>
                <w:color w:val="0F243E" w:themeColor="text2" w:themeShade="80"/>
              </w:rPr>
              <w:t xml:space="preserve"> 16</w:t>
            </w:r>
          </w:p>
        </w:tc>
        <w:tc>
          <w:tcPr>
            <w:tcW w:w="3261" w:type="dxa"/>
            <w:tcBorders>
              <w:left w:val="single" w:sz="4" w:space="0" w:color="auto"/>
            </w:tcBorders>
          </w:tcPr>
          <w:p w:rsidR="009D3B04" w:rsidRDefault="00CF549B" w:rsidP="00CC21F3">
            <w:pPr>
              <w:rPr>
                <w:rFonts w:ascii="Arial" w:hAnsi="Arial" w:cs="Arial"/>
                <w:color w:val="0F243E" w:themeColor="text2" w:themeShade="80"/>
              </w:rPr>
            </w:pPr>
            <w:r>
              <w:rPr>
                <w:rFonts w:ascii="Arial" w:hAnsi="Arial" w:cs="Arial"/>
                <w:color w:val="0F243E" w:themeColor="text2" w:themeShade="80"/>
              </w:rPr>
              <w:t>Horas Semestre: 64</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r w:rsidR="00CF549B">
              <w:rPr>
                <w:rFonts w:ascii="Arial" w:hAnsi="Arial" w:cs="Arial"/>
                <w:color w:val="0F243E" w:themeColor="text2" w:themeShade="80"/>
              </w:rPr>
              <w:t>: 64</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CF549B">
              <w:rPr>
                <w:rFonts w:ascii="Arial" w:hAnsi="Arial" w:cs="Arial"/>
                <w:color w:val="0F243E" w:themeColor="text2" w:themeShade="80"/>
              </w:rPr>
              <w:t>: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47"/>
        <w:gridCol w:w="3364"/>
        <w:gridCol w:w="4117"/>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2D7A91" w:rsidRPr="00C56EB1" w:rsidRDefault="002D7A91" w:rsidP="002D7A91">
            <w:pPr>
              <w:autoSpaceDE w:val="0"/>
              <w:autoSpaceDN w:val="0"/>
              <w:adjustRightInd w:val="0"/>
              <w:spacing w:line="276" w:lineRule="auto"/>
              <w:jc w:val="both"/>
              <w:rPr>
                <w:rFonts w:ascii="Arial" w:hAnsi="Arial" w:cs="Arial"/>
                <w:sz w:val="22"/>
                <w:szCs w:val="22"/>
              </w:rPr>
            </w:pPr>
            <w:r w:rsidRPr="00C56EB1">
              <w:rPr>
                <w:rFonts w:ascii="Arial" w:hAnsi="Arial" w:cs="Arial"/>
                <w:sz w:val="22"/>
                <w:szCs w:val="22"/>
              </w:rPr>
              <w:t>La teoría de juegos se ocupa del análisis de los comportamientos estratégicos de los agentes quienes representan a los jugadores. En la medida en que los agentes necesitan convivir (interactuar) con los demás, asumen un comportamiento estratégico que les permita optimizar los medios y los resultados finales que vienen a ser los pagos de un juego. La teoría de juegos y su aplicación se ha extendido a disciplinas como la Economía, Administración, Ciencia Política, Sociología, Psicología, entre otras. En este sentido, esta materia se convierte en un tema obligatorio en las principales universidades del mundo en los programas de pregrado y postgrado de Administración, Economía y Ciencias Políticas. La teoría de juegos tiene su propio cuerpo teórico y su propio método, sin embargo, en este curso, se hará especial énfasis en el tema empresarial.</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2D7A91" w:rsidRPr="00C56EB1" w:rsidRDefault="002D7A91" w:rsidP="002D7A91">
            <w:pPr>
              <w:spacing w:line="276" w:lineRule="auto"/>
              <w:contextualSpacing/>
              <w:jc w:val="both"/>
              <w:rPr>
                <w:rFonts w:ascii="Arial" w:hAnsi="Arial" w:cs="Arial"/>
                <w:sz w:val="22"/>
                <w:szCs w:val="22"/>
              </w:rPr>
            </w:pPr>
            <w:r>
              <w:rPr>
                <w:rFonts w:ascii="Arial" w:hAnsi="Arial" w:cs="Arial"/>
                <w:sz w:val="22"/>
                <w:szCs w:val="22"/>
              </w:rPr>
              <w:t>Apropiar al estudiante</w:t>
            </w:r>
            <w:r w:rsidRPr="00C56EB1">
              <w:rPr>
                <w:rFonts w:ascii="Arial" w:hAnsi="Arial" w:cs="Arial"/>
                <w:sz w:val="22"/>
                <w:szCs w:val="22"/>
              </w:rPr>
              <w:t xml:space="preserve"> de los elementos básicos de la teoría de juegos y desarrolle la habilidad para representar, analizar y resolver distintos fenómenos de la vida real a través de la teoría de juegos.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2D7A91" w:rsidP="00CC21F3">
            <w:pPr>
              <w:rPr>
                <w:rFonts w:ascii="Arial" w:hAnsi="Arial" w:cs="Arial"/>
                <w:color w:val="0F243E" w:themeColor="text2" w:themeShade="80"/>
              </w:rPr>
            </w:pPr>
            <w:r>
              <w:rPr>
                <w:rFonts w:ascii="Arial" w:hAnsi="Arial" w:cs="Arial"/>
                <w:color w:val="0F243E" w:themeColor="text2" w:themeShade="80"/>
              </w:rPr>
              <w:t>El estudiante sea capaz de tomar decisiones estratégicas en su entorno empresarial.</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2D7A91" w:rsidP="00CC21F3">
            <w:pPr>
              <w:rPr>
                <w:rFonts w:ascii="Arial" w:hAnsi="Arial" w:cs="Arial"/>
                <w:color w:val="0F243E" w:themeColor="text2" w:themeShade="80"/>
              </w:rPr>
            </w:pPr>
            <w:r>
              <w:rPr>
                <w:rFonts w:ascii="Arial" w:hAnsi="Arial" w:cs="Arial"/>
                <w:color w:val="0F243E" w:themeColor="text2" w:themeShade="80"/>
              </w:rPr>
              <w:t>El estudiante podrá resolver problemas que impliquen decisiones estratégicas.</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9D3B04" w:rsidRDefault="009D3B04" w:rsidP="00CC21F3">
            <w:pPr>
              <w:jc w:val="both"/>
              <w:rPr>
                <w:rFonts w:ascii="Arial" w:hAnsi="Arial" w:cs="Arial"/>
                <w:b/>
                <w:color w:val="0F243E" w:themeColor="text2" w:themeShade="80"/>
              </w:rPr>
            </w:pPr>
            <w:r>
              <w:rPr>
                <w:rFonts w:ascii="Arial" w:hAnsi="Arial" w:cs="Arial"/>
                <w:b/>
                <w:color w:val="0F243E" w:themeColor="text2" w:themeShade="80"/>
              </w:rPr>
              <w:t xml:space="preserve">Competencias básicas: </w:t>
            </w:r>
          </w:p>
          <w:p w:rsidR="002D7A91" w:rsidRPr="00C56EB1" w:rsidRDefault="002D7A91" w:rsidP="002D7A91">
            <w:pPr>
              <w:spacing w:line="276" w:lineRule="auto"/>
              <w:jc w:val="both"/>
              <w:rPr>
                <w:rFonts w:ascii="Arial" w:hAnsi="Arial" w:cs="Arial"/>
                <w:sz w:val="22"/>
                <w:szCs w:val="22"/>
              </w:rPr>
            </w:pPr>
            <w:r w:rsidRPr="00C56EB1">
              <w:rPr>
                <w:rFonts w:ascii="Arial" w:hAnsi="Arial" w:cs="Arial"/>
                <w:sz w:val="22"/>
                <w:szCs w:val="22"/>
              </w:rPr>
              <w:t xml:space="preserve">El estudiante a través de este curso desarrollará y afianzará habilidades como: </w:t>
            </w:r>
          </w:p>
          <w:p w:rsidR="002D7A91" w:rsidRPr="00C56EB1" w:rsidRDefault="002D7A91" w:rsidP="002D7A91">
            <w:pPr>
              <w:numPr>
                <w:ilvl w:val="0"/>
                <w:numId w:val="41"/>
              </w:numPr>
              <w:spacing w:line="276" w:lineRule="auto"/>
              <w:jc w:val="both"/>
              <w:rPr>
                <w:rFonts w:ascii="Arial" w:hAnsi="Arial" w:cs="Arial"/>
                <w:sz w:val="22"/>
                <w:szCs w:val="22"/>
              </w:rPr>
            </w:pPr>
            <w:r w:rsidRPr="00C56EB1">
              <w:rPr>
                <w:rFonts w:ascii="Arial" w:hAnsi="Arial" w:cs="Arial"/>
                <w:sz w:val="22"/>
                <w:szCs w:val="22"/>
              </w:rPr>
              <w:t>Comunicación asertiva.</w:t>
            </w:r>
          </w:p>
          <w:p w:rsidR="002D7A91" w:rsidRPr="00C56EB1" w:rsidRDefault="002D7A91" w:rsidP="002D7A91">
            <w:pPr>
              <w:numPr>
                <w:ilvl w:val="0"/>
                <w:numId w:val="41"/>
              </w:numPr>
              <w:spacing w:line="276" w:lineRule="auto"/>
              <w:jc w:val="both"/>
              <w:rPr>
                <w:rFonts w:ascii="Arial" w:hAnsi="Arial" w:cs="Arial"/>
                <w:sz w:val="22"/>
                <w:szCs w:val="22"/>
              </w:rPr>
            </w:pPr>
            <w:r w:rsidRPr="00C56EB1">
              <w:rPr>
                <w:rFonts w:ascii="Arial" w:hAnsi="Arial" w:cs="Arial"/>
                <w:sz w:val="22"/>
                <w:szCs w:val="22"/>
              </w:rPr>
              <w:t>Relaciones interpersonales.</w:t>
            </w:r>
          </w:p>
          <w:p w:rsidR="002D7A91" w:rsidRPr="00C56EB1" w:rsidRDefault="002D7A91" w:rsidP="002D7A91">
            <w:pPr>
              <w:numPr>
                <w:ilvl w:val="0"/>
                <w:numId w:val="41"/>
              </w:numPr>
              <w:spacing w:line="276" w:lineRule="auto"/>
              <w:jc w:val="both"/>
              <w:rPr>
                <w:rFonts w:ascii="Arial" w:hAnsi="Arial" w:cs="Arial"/>
                <w:sz w:val="22"/>
                <w:szCs w:val="22"/>
              </w:rPr>
            </w:pPr>
            <w:r w:rsidRPr="00C56EB1">
              <w:rPr>
                <w:rFonts w:ascii="Arial" w:hAnsi="Arial" w:cs="Arial"/>
                <w:sz w:val="22"/>
                <w:szCs w:val="22"/>
              </w:rPr>
              <w:t>Toma de decisiones.</w:t>
            </w:r>
          </w:p>
          <w:p w:rsidR="002D7A91" w:rsidRPr="00C56EB1" w:rsidRDefault="002D7A91" w:rsidP="002D7A91">
            <w:pPr>
              <w:numPr>
                <w:ilvl w:val="0"/>
                <w:numId w:val="41"/>
              </w:numPr>
              <w:spacing w:line="276" w:lineRule="auto"/>
              <w:jc w:val="both"/>
              <w:rPr>
                <w:rFonts w:ascii="Arial" w:hAnsi="Arial" w:cs="Arial"/>
                <w:sz w:val="22"/>
                <w:szCs w:val="22"/>
              </w:rPr>
            </w:pPr>
            <w:r w:rsidRPr="00C56EB1">
              <w:rPr>
                <w:rFonts w:ascii="Arial" w:hAnsi="Arial" w:cs="Arial"/>
                <w:sz w:val="22"/>
                <w:szCs w:val="22"/>
              </w:rPr>
              <w:t>Manejo de problemas y conflictos.</w:t>
            </w:r>
          </w:p>
          <w:p w:rsidR="002D7A91" w:rsidRPr="00C56EB1" w:rsidRDefault="002D7A91" w:rsidP="002D7A91">
            <w:pPr>
              <w:numPr>
                <w:ilvl w:val="0"/>
                <w:numId w:val="41"/>
              </w:numPr>
              <w:spacing w:line="276" w:lineRule="auto"/>
              <w:jc w:val="both"/>
              <w:rPr>
                <w:rFonts w:ascii="Arial" w:hAnsi="Arial" w:cs="Arial"/>
                <w:sz w:val="22"/>
                <w:szCs w:val="22"/>
              </w:rPr>
            </w:pPr>
            <w:r w:rsidRPr="00C56EB1">
              <w:rPr>
                <w:rFonts w:ascii="Arial" w:hAnsi="Arial" w:cs="Arial"/>
                <w:sz w:val="22"/>
                <w:szCs w:val="22"/>
              </w:rPr>
              <w:t>Pensamiento creativo y crítico.</w:t>
            </w:r>
          </w:p>
          <w:p w:rsidR="002D7A91" w:rsidRDefault="002D7A91" w:rsidP="00CC21F3">
            <w:pPr>
              <w:jc w:val="both"/>
              <w:rPr>
                <w:rFonts w:ascii="Arial" w:hAnsi="Arial" w:cs="Arial"/>
                <w:color w:val="2F2F2F"/>
                <w:sz w:val="18"/>
                <w:szCs w:val="18"/>
                <w:shd w:val="clear" w:color="auto" w:fill="FFFFFF"/>
              </w:rPr>
            </w:pPr>
          </w:p>
          <w:p w:rsidR="002D7A91" w:rsidRDefault="009D3B04" w:rsidP="002D7A91">
            <w:pPr>
              <w:spacing w:after="200" w:line="276" w:lineRule="auto"/>
              <w:contextualSpacing/>
              <w:jc w:val="both"/>
              <w:rPr>
                <w:rFonts w:ascii="Arial" w:hAnsi="Arial" w:cs="Arial"/>
                <w:b/>
                <w:color w:val="2F2F2F"/>
                <w:szCs w:val="18"/>
                <w:shd w:val="clear" w:color="auto" w:fill="FFFFFF"/>
              </w:rPr>
            </w:pPr>
            <w:r>
              <w:rPr>
                <w:rFonts w:ascii="Arial" w:hAnsi="Arial" w:cs="Arial"/>
                <w:b/>
                <w:color w:val="2F2F2F"/>
                <w:szCs w:val="18"/>
                <w:shd w:val="clear" w:color="auto" w:fill="FFFFFF"/>
              </w:rPr>
              <w:lastRenderedPageBreak/>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p>
          <w:p w:rsidR="002D7A91" w:rsidRPr="002D7A91" w:rsidRDefault="002D7A91" w:rsidP="002D7A91">
            <w:pPr>
              <w:pStyle w:val="Prrafodelista"/>
              <w:numPr>
                <w:ilvl w:val="0"/>
                <w:numId w:val="43"/>
              </w:numPr>
              <w:jc w:val="both"/>
              <w:rPr>
                <w:rFonts w:ascii="Arial" w:hAnsi="Arial" w:cs="Arial"/>
              </w:rPr>
            </w:pPr>
            <w:r w:rsidRPr="002D7A91">
              <w:rPr>
                <w:rFonts w:ascii="Arial" w:hAnsi="Arial" w:cs="Arial"/>
              </w:rPr>
              <w:t>Comprender la teoría de juegos.</w:t>
            </w:r>
          </w:p>
          <w:p w:rsidR="002D7A91" w:rsidRPr="00C56EB1" w:rsidRDefault="002D7A91" w:rsidP="002D7A91">
            <w:pPr>
              <w:numPr>
                <w:ilvl w:val="0"/>
                <w:numId w:val="42"/>
              </w:numPr>
              <w:spacing w:after="200" w:line="276" w:lineRule="auto"/>
              <w:contextualSpacing/>
              <w:jc w:val="both"/>
              <w:rPr>
                <w:rFonts w:ascii="Arial" w:hAnsi="Arial" w:cs="Arial"/>
                <w:sz w:val="22"/>
                <w:szCs w:val="22"/>
              </w:rPr>
            </w:pPr>
            <w:r w:rsidRPr="00C56EB1">
              <w:rPr>
                <w:rFonts w:ascii="Arial" w:hAnsi="Arial" w:cs="Arial"/>
                <w:sz w:val="22"/>
                <w:szCs w:val="22"/>
              </w:rPr>
              <w:t>Comprender  los elementos básicos de los juegos evolucionarios.</w:t>
            </w:r>
          </w:p>
          <w:p w:rsidR="002D7A91" w:rsidRPr="00C56EB1" w:rsidRDefault="002D7A91" w:rsidP="002D7A91">
            <w:pPr>
              <w:numPr>
                <w:ilvl w:val="0"/>
                <w:numId w:val="42"/>
              </w:numPr>
              <w:spacing w:after="200" w:line="276" w:lineRule="auto"/>
              <w:contextualSpacing/>
              <w:jc w:val="both"/>
              <w:rPr>
                <w:rFonts w:ascii="Arial" w:hAnsi="Arial" w:cs="Arial"/>
                <w:sz w:val="22"/>
                <w:szCs w:val="22"/>
              </w:rPr>
            </w:pPr>
            <w:r w:rsidRPr="00C56EB1">
              <w:rPr>
                <w:rFonts w:ascii="Arial" w:hAnsi="Arial" w:cs="Arial"/>
                <w:sz w:val="22"/>
                <w:szCs w:val="22"/>
              </w:rPr>
              <w:t>Representar fenómenos de la vida real a través de la teoría de juegos</w:t>
            </w:r>
            <w:r>
              <w:rPr>
                <w:rFonts w:ascii="Arial" w:hAnsi="Arial" w:cs="Arial"/>
                <w:sz w:val="22"/>
                <w:szCs w:val="22"/>
              </w:rPr>
              <w:t>.</w:t>
            </w:r>
          </w:p>
          <w:p w:rsidR="009D3B04" w:rsidRDefault="009D3B04" w:rsidP="002D7A91">
            <w:pPr>
              <w:jc w:val="both"/>
              <w:rPr>
                <w:rFonts w:ascii="Arial" w:hAnsi="Arial" w:cs="Arial"/>
                <w:b/>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p>
          <w:p w:rsidR="002D7A91" w:rsidRPr="002D7A91" w:rsidRDefault="002D7A91" w:rsidP="002D7A91">
            <w:pPr>
              <w:jc w:val="both"/>
              <w:rPr>
                <w:rFonts w:ascii="Arial" w:hAnsi="Arial" w:cs="Arial"/>
                <w:color w:val="0F243E" w:themeColor="text2" w:themeShade="80"/>
              </w:rPr>
            </w:pPr>
            <w:r>
              <w:rPr>
                <w:rFonts w:ascii="Arial" w:hAnsi="Arial" w:cs="Arial"/>
                <w:color w:val="0F243E" w:themeColor="text2" w:themeShade="80"/>
              </w:rPr>
              <w:t>Diseñar juegos que permitan tomar las mejores decisiones empresariales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2D7A91" w:rsidP="00CC21F3">
            <w:pPr>
              <w:rPr>
                <w:rFonts w:ascii="Arial" w:hAnsi="Arial" w:cs="Arial"/>
                <w:color w:val="0F243E" w:themeColor="text2" w:themeShade="80"/>
              </w:rPr>
            </w:pPr>
            <w:r>
              <w:rPr>
                <w:rFonts w:ascii="Arial" w:hAnsi="Arial" w:cs="Arial"/>
                <w:color w:val="0F243E" w:themeColor="text2" w:themeShade="80"/>
              </w:rPr>
              <w:t>Economía, la estadísticas y la computación</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9D3B04" w:rsidRDefault="009D3B04" w:rsidP="005307D9">
            <w:pPr>
              <w:rPr>
                <w:rFonts w:ascii="Arial" w:hAnsi="Arial" w:cs="Arial"/>
                <w:color w:val="0F243E" w:themeColor="text2" w:themeShade="80"/>
              </w:rPr>
            </w:pPr>
          </w:p>
          <w:p w:rsidR="002D7A91" w:rsidRDefault="002D7A91" w:rsidP="002D7A91">
            <w:pPr>
              <w:spacing w:line="276" w:lineRule="auto"/>
              <w:jc w:val="both"/>
              <w:rPr>
                <w:rFonts w:ascii="Arial" w:hAnsi="Arial" w:cs="Arial"/>
                <w:b/>
                <w:sz w:val="22"/>
                <w:szCs w:val="22"/>
              </w:rPr>
            </w:pPr>
          </w:p>
          <w:p w:rsidR="002D7A91" w:rsidRPr="00FC7915" w:rsidRDefault="002D7A91" w:rsidP="002D7A91">
            <w:pPr>
              <w:numPr>
                <w:ilvl w:val="0"/>
                <w:numId w:val="44"/>
              </w:numPr>
              <w:spacing w:line="276" w:lineRule="auto"/>
              <w:jc w:val="both"/>
              <w:rPr>
                <w:rFonts w:ascii="Arial" w:hAnsi="Arial" w:cs="Arial"/>
                <w:b/>
                <w:sz w:val="22"/>
                <w:szCs w:val="22"/>
              </w:rPr>
            </w:pPr>
            <w:r w:rsidRPr="00FC7915">
              <w:rPr>
                <w:rFonts w:ascii="Arial" w:hAnsi="Arial" w:cs="Arial"/>
                <w:b/>
                <w:sz w:val="22"/>
                <w:szCs w:val="22"/>
              </w:rPr>
              <w:t xml:space="preserve">Introducción </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 xml:space="preserve">Características del juego gerencial </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Juegos gerenciales</w:t>
            </w:r>
          </w:p>
          <w:p w:rsidR="002D7A91" w:rsidRPr="0036058D" w:rsidRDefault="002D7A91" w:rsidP="002D7A91">
            <w:pPr>
              <w:spacing w:line="276" w:lineRule="auto"/>
              <w:ind w:left="1080"/>
              <w:jc w:val="both"/>
              <w:rPr>
                <w:rFonts w:ascii="Arial" w:hAnsi="Arial" w:cs="Arial"/>
                <w:sz w:val="22"/>
                <w:szCs w:val="22"/>
              </w:rPr>
            </w:pPr>
          </w:p>
          <w:p w:rsidR="002D7A91" w:rsidRPr="00FC7915" w:rsidRDefault="002D7A91" w:rsidP="002D7A91">
            <w:pPr>
              <w:numPr>
                <w:ilvl w:val="0"/>
                <w:numId w:val="44"/>
              </w:numPr>
              <w:spacing w:line="276" w:lineRule="auto"/>
              <w:jc w:val="both"/>
              <w:rPr>
                <w:rFonts w:ascii="Arial" w:hAnsi="Arial" w:cs="Arial"/>
                <w:b/>
                <w:sz w:val="22"/>
                <w:szCs w:val="22"/>
              </w:rPr>
            </w:pPr>
            <w:r>
              <w:rPr>
                <w:rFonts w:ascii="Arial" w:hAnsi="Arial" w:cs="Arial"/>
                <w:b/>
                <w:sz w:val="22"/>
                <w:szCs w:val="22"/>
              </w:rPr>
              <w:t>Introducción a t</w:t>
            </w:r>
            <w:r w:rsidRPr="00FC7915">
              <w:rPr>
                <w:rFonts w:ascii="Arial" w:hAnsi="Arial" w:cs="Arial"/>
                <w:b/>
                <w:sz w:val="22"/>
                <w:szCs w:val="22"/>
              </w:rPr>
              <w:t>eoría de Juegos</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Juegos con movimientos simultáneos</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Modelos clásicos de oligopolio</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 xml:space="preserve">Estrategias mixtas </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Juegos de suma cero</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Juegos secuenciales</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Juegos repetidos</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Problema de información</w:t>
            </w:r>
          </w:p>
          <w:p w:rsidR="002D7A91" w:rsidRDefault="002D7A91" w:rsidP="002D7A91">
            <w:pPr>
              <w:spacing w:line="276" w:lineRule="auto"/>
              <w:ind w:left="720"/>
              <w:jc w:val="both"/>
              <w:rPr>
                <w:rFonts w:ascii="Arial" w:hAnsi="Arial" w:cs="Arial"/>
                <w:b/>
                <w:sz w:val="22"/>
                <w:szCs w:val="22"/>
              </w:rPr>
            </w:pPr>
          </w:p>
          <w:p w:rsidR="002D7A91" w:rsidRDefault="002D7A91" w:rsidP="002D7A91">
            <w:pPr>
              <w:numPr>
                <w:ilvl w:val="0"/>
                <w:numId w:val="44"/>
              </w:numPr>
              <w:spacing w:line="276" w:lineRule="auto"/>
              <w:jc w:val="both"/>
              <w:rPr>
                <w:rFonts w:ascii="Arial" w:hAnsi="Arial" w:cs="Arial"/>
                <w:b/>
                <w:sz w:val="22"/>
                <w:szCs w:val="22"/>
              </w:rPr>
            </w:pPr>
            <w:r w:rsidRPr="003A2ABB">
              <w:rPr>
                <w:rFonts w:ascii="Arial" w:hAnsi="Arial" w:cs="Arial"/>
                <w:b/>
                <w:sz w:val="22"/>
                <w:szCs w:val="22"/>
              </w:rPr>
              <w:t xml:space="preserve">Nociones básicas de estadística aplicada </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 xml:space="preserve">Estadística descriptiva </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Gráficos estadísticos</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Análisis de probabilidades determinístico</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 xml:space="preserve">Análisis de probabilidades aleatorio </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Técnicas de proyección en el análisis de mercado</w:t>
            </w:r>
          </w:p>
          <w:p w:rsidR="002D7A91" w:rsidRPr="003A2ABB" w:rsidRDefault="002D7A91" w:rsidP="002D7A91">
            <w:pPr>
              <w:spacing w:line="276" w:lineRule="auto"/>
              <w:ind w:left="360"/>
              <w:jc w:val="both"/>
              <w:rPr>
                <w:rFonts w:ascii="Arial" w:hAnsi="Arial" w:cs="Arial"/>
                <w:sz w:val="22"/>
                <w:szCs w:val="22"/>
              </w:rPr>
            </w:pPr>
          </w:p>
          <w:p w:rsidR="002D7A91" w:rsidRDefault="002D7A91" w:rsidP="002D7A91">
            <w:pPr>
              <w:numPr>
                <w:ilvl w:val="0"/>
                <w:numId w:val="44"/>
              </w:numPr>
              <w:spacing w:line="276" w:lineRule="auto"/>
              <w:jc w:val="both"/>
              <w:rPr>
                <w:rFonts w:ascii="Arial" w:hAnsi="Arial" w:cs="Arial"/>
                <w:b/>
                <w:sz w:val="22"/>
                <w:szCs w:val="22"/>
              </w:rPr>
            </w:pPr>
            <w:r>
              <w:rPr>
                <w:rFonts w:ascii="Arial" w:hAnsi="Arial" w:cs="Arial"/>
                <w:b/>
                <w:sz w:val="22"/>
                <w:szCs w:val="22"/>
              </w:rPr>
              <w:t>Entorno económico y empresarial</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Análisis de la competencia en el mercado</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 xml:space="preserve">Análisis macroeconómico </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lastRenderedPageBreak/>
              <w:t xml:space="preserve">Áreas funcionales del negocio </w:t>
            </w:r>
          </w:p>
          <w:p w:rsidR="002D7A91" w:rsidRPr="00FC6F29" w:rsidRDefault="002D7A91" w:rsidP="002D7A91">
            <w:pPr>
              <w:spacing w:line="276" w:lineRule="auto"/>
              <w:jc w:val="both"/>
              <w:rPr>
                <w:rFonts w:ascii="Arial" w:hAnsi="Arial" w:cs="Arial"/>
                <w:sz w:val="22"/>
                <w:szCs w:val="22"/>
              </w:rPr>
            </w:pPr>
          </w:p>
          <w:p w:rsidR="002D7A91" w:rsidRPr="00FC7915" w:rsidRDefault="002D7A91" w:rsidP="002D7A91">
            <w:pPr>
              <w:numPr>
                <w:ilvl w:val="0"/>
                <w:numId w:val="44"/>
              </w:numPr>
              <w:spacing w:line="276" w:lineRule="auto"/>
              <w:jc w:val="both"/>
              <w:rPr>
                <w:rFonts w:ascii="Arial" w:hAnsi="Arial" w:cs="Arial"/>
                <w:b/>
                <w:sz w:val="22"/>
                <w:szCs w:val="22"/>
              </w:rPr>
            </w:pPr>
            <w:r w:rsidRPr="00FC7915">
              <w:rPr>
                <w:rFonts w:ascii="Arial" w:hAnsi="Arial" w:cs="Arial"/>
                <w:b/>
                <w:sz w:val="22"/>
                <w:szCs w:val="22"/>
              </w:rPr>
              <w:t>Simulación en la bolsa de valores</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Inscripción bolsa millonaria</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Mercado de bonos, acciones, derivados y divisas</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Análisis del portafolio</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Ejercicios</w:t>
            </w:r>
          </w:p>
          <w:p w:rsidR="002D7A91" w:rsidRPr="0036058D" w:rsidRDefault="002D7A91" w:rsidP="002D7A91">
            <w:pPr>
              <w:spacing w:line="276" w:lineRule="auto"/>
              <w:jc w:val="both"/>
              <w:rPr>
                <w:rFonts w:ascii="Arial" w:hAnsi="Arial" w:cs="Arial"/>
                <w:sz w:val="22"/>
                <w:szCs w:val="22"/>
              </w:rPr>
            </w:pPr>
          </w:p>
          <w:p w:rsidR="002D7A91" w:rsidRPr="00FC7915" w:rsidRDefault="002D7A91" w:rsidP="002D7A91">
            <w:pPr>
              <w:numPr>
                <w:ilvl w:val="0"/>
                <w:numId w:val="44"/>
              </w:numPr>
              <w:spacing w:line="276" w:lineRule="auto"/>
              <w:jc w:val="both"/>
              <w:rPr>
                <w:rFonts w:ascii="Arial" w:hAnsi="Arial" w:cs="Arial"/>
                <w:b/>
                <w:sz w:val="22"/>
                <w:szCs w:val="22"/>
              </w:rPr>
            </w:pPr>
            <w:r w:rsidRPr="00FC7915">
              <w:rPr>
                <w:rFonts w:ascii="Arial" w:hAnsi="Arial" w:cs="Arial"/>
                <w:b/>
                <w:sz w:val="22"/>
                <w:szCs w:val="22"/>
              </w:rPr>
              <w:t xml:space="preserve">Simulación </w:t>
            </w:r>
            <w:r>
              <w:rPr>
                <w:rFonts w:ascii="Arial" w:hAnsi="Arial" w:cs="Arial"/>
                <w:b/>
                <w:sz w:val="22"/>
                <w:szCs w:val="22"/>
              </w:rPr>
              <w:t>de un inversionista</w:t>
            </w:r>
            <w:r w:rsidRPr="00FC7915">
              <w:rPr>
                <w:rFonts w:ascii="Arial" w:hAnsi="Arial" w:cs="Arial"/>
                <w:b/>
                <w:sz w:val="22"/>
                <w:szCs w:val="22"/>
              </w:rPr>
              <w:t xml:space="preserve"> </w:t>
            </w:r>
            <w:r>
              <w:rPr>
                <w:rFonts w:ascii="Arial" w:hAnsi="Arial" w:cs="Arial"/>
                <w:b/>
                <w:sz w:val="22"/>
                <w:szCs w:val="22"/>
              </w:rPr>
              <w:t>(evaluación financiera de proyectos)</w:t>
            </w:r>
            <w:r w:rsidRPr="00FC7915">
              <w:rPr>
                <w:rFonts w:ascii="Arial" w:hAnsi="Arial" w:cs="Arial"/>
                <w:b/>
                <w:sz w:val="22"/>
                <w:szCs w:val="22"/>
              </w:rPr>
              <w:t xml:space="preserve"> </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Contexto para realizar la simulación: casos</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Análisis del crédito</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Análisis de ingresos y de costos</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 xml:space="preserve">Indicadores de rentabilidad </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 xml:space="preserve">Análisis determinístico </w:t>
            </w:r>
          </w:p>
          <w:p w:rsidR="002D7A91" w:rsidRDefault="002D7A91" w:rsidP="002D7A91">
            <w:pPr>
              <w:numPr>
                <w:ilvl w:val="1"/>
                <w:numId w:val="44"/>
              </w:numPr>
              <w:spacing w:line="276" w:lineRule="auto"/>
              <w:jc w:val="both"/>
              <w:rPr>
                <w:rFonts w:ascii="Arial" w:hAnsi="Arial" w:cs="Arial"/>
                <w:sz w:val="22"/>
                <w:szCs w:val="22"/>
              </w:rPr>
            </w:pPr>
            <w:r>
              <w:rPr>
                <w:rFonts w:ascii="Arial" w:hAnsi="Arial" w:cs="Arial"/>
                <w:sz w:val="22"/>
                <w:szCs w:val="22"/>
              </w:rPr>
              <w:t>Simulación Montecarlo</w:t>
            </w:r>
          </w:p>
          <w:p w:rsidR="002D7A91" w:rsidRDefault="002D7A91" w:rsidP="002D7A91">
            <w:pPr>
              <w:spacing w:line="276" w:lineRule="auto"/>
              <w:ind w:left="1080"/>
              <w:jc w:val="both"/>
              <w:rPr>
                <w:rFonts w:ascii="Arial" w:hAnsi="Arial" w:cs="Arial"/>
                <w:sz w:val="22"/>
                <w:szCs w:val="22"/>
              </w:rPr>
            </w:pPr>
          </w:p>
          <w:p w:rsidR="002D7A91" w:rsidRPr="00A3341E" w:rsidRDefault="002D7A91" w:rsidP="002D7A91">
            <w:pPr>
              <w:numPr>
                <w:ilvl w:val="0"/>
                <w:numId w:val="44"/>
              </w:numPr>
              <w:spacing w:line="276" w:lineRule="auto"/>
              <w:jc w:val="both"/>
              <w:rPr>
                <w:rFonts w:ascii="Arial" w:hAnsi="Arial" w:cs="Arial"/>
                <w:b/>
                <w:sz w:val="22"/>
                <w:szCs w:val="22"/>
              </w:rPr>
            </w:pPr>
            <w:r w:rsidRPr="00A3341E">
              <w:rPr>
                <w:rFonts w:ascii="Arial" w:hAnsi="Arial" w:cs="Arial"/>
                <w:b/>
                <w:sz w:val="22"/>
                <w:szCs w:val="22"/>
              </w:rPr>
              <w:t xml:space="preserve">Modelo empresarial </w:t>
            </w:r>
          </w:p>
          <w:p w:rsidR="002D7A91" w:rsidRDefault="002D7A91" w:rsidP="002D7A91">
            <w:pPr>
              <w:numPr>
                <w:ilvl w:val="1"/>
                <w:numId w:val="44"/>
              </w:numPr>
              <w:spacing w:line="276" w:lineRule="auto"/>
              <w:jc w:val="both"/>
              <w:rPr>
                <w:rFonts w:ascii="Arial" w:hAnsi="Arial" w:cs="Arial"/>
                <w:sz w:val="22"/>
                <w:szCs w:val="22"/>
              </w:rPr>
            </w:pPr>
            <w:r w:rsidRPr="00332B14">
              <w:rPr>
                <w:rFonts w:ascii="Arial" w:hAnsi="Arial" w:cs="Arial"/>
                <w:sz w:val="22"/>
                <w:szCs w:val="22"/>
              </w:rPr>
              <w:t>Haciendo un plan de negocios</w:t>
            </w:r>
          </w:p>
          <w:p w:rsidR="002D7A91" w:rsidRDefault="002D7A91" w:rsidP="002D7A91">
            <w:pPr>
              <w:numPr>
                <w:ilvl w:val="1"/>
                <w:numId w:val="44"/>
              </w:numPr>
              <w:spacing w:line="276" w:lineRule="auto"/>
              <w:jc w:val="both"/>
              <w:rPr>
                <w:rFonts w:ascii="Arial" w:hAnsi="Arial" w:cs="Arial"/>
                <w:sz w:val="22"/>
                <w:szCs w:val="22"/>
              </w:rPr>
            </w:pPr>
            <w:r w:rsidRPr="00332B14">
              <w:rPr>
                <w:rFonts w:ascii="Arial" w:hAnsi="Arial" w:cs="Arial"/>
                <w:sz w:val="22"/>
                <w:szCs w:val="22"/>
              </w:rPr>
              <w:t>Gestión de recursos</w:t>
            </w:r>
          </w:p>
          <w:p w:rsidR="002D7A91" w:rsidRDefault="002D7A91" w:rsidP="002D7A91">
            <w:pPr>
              <w:numPr>
                <w:ilvl w:val="1"/>
                <w:numId w:val="44"/>
              </w:numPr>
              <w:spacing w:line="276" w:lineRule="auto"/>
              <w:jc w:val="both"/>
              <w:rPr>
                <w:rFonts w:ascii="Arial" w:hAnsi="Arial" w:cs="Arial"/>
                <w:sz w:val="22"/>
                <w:szCs w:val="22"/>
              </w:rPr>
            </w:pPr>
            <w:r w:rsidRPr="00332B14">
              <w:rPr>
                <w:rFonts w:ascii="Arial" w:hAnsi="Arial" w:cs="Arial"/>
                <w:sz w:val="22"/>
                <w:szCs w:val="22"/>
              </w:rPr>
              <w:t xml:space="preserve">Estructura de capital </w:t>
            </w:r>
          </w:p>
          <w:p w:rsidR="002D7A91" w:rsidRDefault="002D7A91" w:rsidP="002D7A91">
            <w:pPr>
              <w:numPr>
                <w:ilvl w:val="1"/>
                <w:numId w:val="44"/>
              </w:numPr>
              <w:spacing w:line="276" w:lineRule="auto"/>
              <w:jc w:val="both"/>
              <w:rPr>
                <w:rFonts w:ascii="Arial" w:hAnsi="Arial" w:cs="Arial"/>
                <w:sz w:val="22"/>
                <w:szCs w:val="22"/>
              </w:rPr>
            </w:pPr>
            <w:r w:rsidRPr="00332B14">
              <w:rPr>
                <w:rFonts w:ascii="Arial" w:hAnsi="Arial" w:cs="Arial"/>
                <w:sz w:val="22"/>
                <w:szCs w:val="22"/>
              </w:rPr>
              <w:t>Construcción de estados financieros</w:t>
            </w:r>
          </w:p>
          <w:p w:rsidR="002D7A91" w:rsidRPr="002D7A91" w:rsidRDefault="002D7A91" w:rsidP="002D7A91">
            <w:pPr>
              <w:numPr>
                <w:ilvl w:val="1"/>
                <w:numId w:val="44"/>
              </w:numPr>
              <w:spacing w:line="276" w:lineRule="auto"/>
              <w:jc w:val="both"/>
              <w:rPr>
                <w:rFonts w:ascii="Arial" w:hAnsi="Arial" w:cs="Arial"/>
                <w:color w:val="0F243E" w:themeColor="text2" w:themeShade="80"/>
              </w:rPr>
            </w:pPr>
            <w:r w:rsidRPr="00332B14">
              <w:rPr>
                <w:rFonts w:ascii="Arial" w:hAnsi="Arial" w:cs="Arial"/>
                <w:sz w:val="22"/>
                <w:szCs w:val="22"/>
              </w:rPr>
              <w:t>Simulación de escenarios</w:t>
            </w:r>
          </w:p>
          <w:p w:rsidR="005307D9" w:rsidRDefault="002D7A91" w:rsidP="002D7A91">
            <w:pPr>
              <w:numPr>
                <w:ilvl w:val="1"/>
                <w:numId w:val="44"/>
              </w:numPr>
              <w:spacing w:line="276" w:lineRule="auto"/>
              <w:jc w:val="both"/>
              <w:rPr>
                <w:rFonts w:ascii="Arial" w:hAnsi="Arial" w:cs="Arial"/>
                <w:color w:val="0F243E" w:themeColor="text2" w:themeShade="80"/>
              </w:rPr>
            </w:pPr>
            <w:r w:rsidRPr="00332B14">
              <w:rPr>
                <w:rFonts w:ascii="Arial" w:hAnsi="Arial" w:cs="Arial"/>
                <w:sz w:val="22"/>
                <w:szCs w:val="22"/>
              </w:rPr>
              <w:t>Valoración del negocio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2D7A91" w:rsidP="00E525ED">
            <w:pPr>
              <w:rPr>
                <w:rFonts w:ascii="Arial" w:hAnsi="Arial" w:cs="Arial"/>
                <w:color w:val="0F243E" w:themeColor="text2" w:themeShade="80"/>
              </w:rPr>
            </w:pPr>
            <w:r>
              <w:rPr>
                <w:rFonts w:ascii="Arial" w:hAnsi="Arial" w:cs="Arial"/>
                <w:color w:val="0F243E" w:themeColor="text2" w:themeShade="80"/>
              </w:rPr>
              <w:t xml:space="preserve">Los conceptos de teoría de juegos junto a elementos relacionados con decisiones empresariales desde el punto de vista financiera. </w:t>
            </w: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9D3B04" w:rsidP="00CC21F3">
            <w:pPr>
              <w:rPr>
                <w:rFonts w:ascii="Arial" w:hAnsi="Arial" w:cs="Arial"/>
                <w:color w:val="0F243E" w:themeColor="text2" w:themeShade="80"/>
              </w:rPr>
            </w:pPr>
          </w:p>
          <w:p w:rsidR="002D7A91" w:rsidRPr="00C56EB1" w:rsidRDefault="002D7A91" w:rsidP="002D7A91">
            <w:pPr>
              <w:spacing w:line="276" w:lineRule="auto"/>
              <w:jc w:val="both"/>
              <w:rPr>
                <w:rFonts w:ascii="Arial" w:hAnsi="Arial" w:cs="Arial"/>
                <w:b/>
                <w:sz w:val="22"/>
                <w:szCs w:val="22"/>
              </w:rPr>
            </w:pPr>
            <w:r w:rsidRPr="00C56EB1">
              <w:rPr>
                <w:rFonts w:ascii="Arial" w:hAnsi="Arial" w:cs="Arial"/>
                <w:b/>
                <w:sz w:val="22"/>
                <w:szCs w:val="22"/>
              </w:rPr>
              <w:t>Iniciales:</w:t>
            </w:r>
          </w:p>
          <w:p w:rsidR="002D7A91" w:rsidRPr="00C56EB1" w:rsidRDefault="002D7A91" w:rsidP="002D7A91">
            <w:pPr>
              <w:spacing w:line="276" w:lineRule="auto"/>
              <w:jc w:val="both"/>
              <w:rPr>
                <w:rFonts w:ascii="Arial" w:hAnsi="Arial" w:cs="Arial"/>
                <w:bCs/>
                <w:sz w:val="22"/>
                <w:szCs w:val="22"/>
                <w:lang w:val="es-MX"/>
              </w:rPr>
            </w:pPr>
            <w:r w:rsidRPr="00C56EB1">
              <w:rPr>
                <w:rFonts w:ascii="Arial" w:hAnsi="Arial" w:cs="Arial"/>
                <w:bCs/>
                <w:sz w:val="22"/>
                <w:szCs w:val="22"/>
                <w:lang w:val="es-MX"/>
              </w:rPr>
              <w:t>Estas actividades le permiten conocer al estudiante el contenido del curso en el que está inscrito, los procesos de aprendizaje a desarrollar, las actividades metodológicas que conducirán al logro de los objetivos que se plantean; así como los compañeros que van a interactuar con él y él docente que lo acompañará durante su proceso.</w:t>
            </w:r>
          </w:p>
          <w:p w:rsidR="002D7A91" w:rsidRPr="00C56EB1" w:rsidRDefault="002D7A91" w:rsidP="002D7A91">
            <w:pPr>
              <w:spacing w:line="276" w:lineRule="auto"/>
              <w:jc w:val="both"/>
              <w:rPr>
                <w:rFonts w:ascii="Arial" w:hAnsi="Arial" w:cs="Arial"/>
                <w:sz w:val="22"/>
                <w:szCs w:val="22"/>
              </w:rPr>
            </w:pPr>
          </w:p>
          <w:p w:rsidR="002D7A91" w:rsidRPr="00C56EB1" w:rsidRDefault="002D7A91" w:rsidP="002D7A91">
            <w:pPr>
              <w:pStyle w:val="Subttulo"/>
              <w:numPr>
                <w:ilvl w:val="0"/>
                <w:numId w:val="45"/>
              </w:numPr>
              <w:spacing w:line="276" w:lineRule="auto"/>
              <w:ind w:right="-44"/>
              <w:jc w:val="both"/>
              <w:rPr>
                <w:rFonts w:ascii="Arial" w:hAnsi="Arial" w:cs="Arial"/>
                <w:b w:val="0"/>
                <w:bCs/>
                <w:sz w:val="22"/>
                <w:szCs w:val="22"/>
                <w:lang w:val="es-MX"/>
              </w:rPr>
            </w:pPr>
            <w:r w:rsidRPr="00C56EB1">
              <w:rPr>
                <w:rFonts w:ascii="Arial" w:hAnsi="Arial" w:cs="Arial"/>
                <w:b w:val="0"/>
                <w:bCs/>
                <w:sz w:val="22"/>
                <w:szCs w:val="22"/>
                <w:lang w:val="es-MX"/>
              </w:rPr>
              <w:t>Presentación ante el grupo de estudiantes.</w:t>
            </w:r>
          </w:p>
          <w:p w:rsidR="002D7A91" w:rsidRPr="00C56EB1" w:rsidRDefault="002D7A91" w:rsidP="002D7A91">
            <w:pPr>
              <w:pStyle w:val="Subttulo"/>
              <w:numPr>
                <w:ilvl w:val="0"/>
                <w:numId w:val="45"/>
              </w:numPr>
              <w:spacing w:line="276" w:lineRule="auto"/>
              <w:ind w:right="-44"/>
              <w:jc w:val="both"/>
              <w:rPr>
                <w:rFonts w:ascii="Arial" w:hAnsi="Arial" w:cs="Arial"/>
                <w:b w:val="0"/>
                <w:bCs/>
                <w:sz w:val="22"/>
                <w:szCs w:val="22"/>
                <w:lang w:val="es-MX"/>
              </w:rPr>
            </w:pPr>
            <w:r w:rsidRPr="00C56EB1">
              <w:rPr>
                <w:rFonts w:ascii="Arial" w:hAnsi="Arial" w:cs="Arial"/>
                <w:b w:val="0"/>
                <w:bCs/>
                <w:sz w:val="22"/>
                <w:szCs w:val="22"/>
                <w:lang w:val="es-MX"/>
              </w:rPr>
              <w:t>Presentación del docente orientador.</w:t>
            </w:r>
          </w:p>
          <w:p w:rsidR="002D7A91" w:rsidRPr="00C56EB1" w:rsidRDefault="002D7A91" w:rsidP="002D7A91">
            <w:pPr>
              <w:pStyle w:val="Subttulo"/>
              <w:numPr>
                <w:ilvl w:val="0"/>
                <w:numId w:val="45"/>
              </w:numPr>
              <w:spacing w:line="276" w:lineRule="auto"/>
              <w:ind w:right="-44"/>
              <w:jc w:val="both"/>
              <w:rPr>
                <w:rFonts w:ascii="Arial" w:hAnsi="Arial" w:cs="Arial"/>
                <w:b w:val="0"/>
                <w:bCs/>
                <w:sz w:val="22"/>
                <w:szCs w:val="22"/>
                <w:lang w:val="es-MX"/>
              </w:rPr>
            </w:pPr>
            <w:r w:rsidRPr="00C56EB1">
              <w:rPr>
                <w:rFonts w:ascii="Arial" w:hAnsi="Arial" w:cs="Arial"/>
                <w:b w:val="0"/>
                <w:bCs/>
                <w:sz w:val="22"/>
                <w:szCs w:val="22"/>
                <w:lang w:val="es-MX"/>
              </w:rPr>
              <w:t>Conocimiento y análisis del syllabus.</w:t>
            </w:r>
          </w:p>
          <w:p w:rsidR="002D7A91" w:rsidRPr="00C56EB1" w:rsidRDefault="002D7A91" w:rsidP="002D7A91">
            <w:pPr>
              <w:numPr>
                <w:ilvl w:val="0"/>
                <w:numId w:val="45"/>
              </w:numPr>
              <w:spacing w:line="276" w:lineRule="auto"/>
              <w:jc w:val="both"/>
              <w:rPr>
                <w:rFonts w:ascii="Arial" w:hAnsi="Arial" w:cs="Arial"/>
                <w:b/>
                <w:sz w:val="22"/>
                <w:szCs w:val="22"/>
              </w:rPr>
            </w:pPr>
            <w:r w:rsidRPr="00C56EB1">
              <w:rPr>
                <w:rFonts w:ascii="Arial" w:hAnsi="Arial" w:cs="Arial"/>
                <w:bCs/>
                <w:sz w:val="22"/>
                <w:szCs w:val="22"/>
                <w:lang w:val="es-MX"/>
              </w:rPr>
              <w:t>Firma y compromiso de los estudiantes.</w:t>
            </w:r>
          </w:p>
          <w:p w:rsidR="002D7A91" w:rsidRPr="00C56EB1" w:rsidRDefault="002D7A91" w:rsidP="002D7A91">
            <w:pPr>
              <w:spacing w:line="276" w:lineRule="auto"/>
              <w:jc w:val="both"/>
              <w:rPr>
                <w:rFonts w:ascii="Arial" w:hAnsi="Arial" w:cs="Arial"/>
                <w:bCs/>
                <w:sz w:val="22"/>
                <w:szCs w:val="22"/>
                <w:lang w:val="es-MX"/>
              </w:rPr>
            </w:pPr>
          </w:p>
          <w:p w:rsidR="002D7A91" w:rsidRPr="00C56EB1" w:rsidRDefault="002D7A91" w:rsidP="002D7A91">
            <w:pPr>
              <w:spacing w:line="276" w:lineRule="auto"/>
              <w:jc w:val="both"/>
              <w:rPr>
                <w:rFonts w:ascii="Arial" w:hAnsi="Arial" w:cs="Arial"/>
                <w:b/>
                <w:sz w:val="22"/>
                <w:szCs w:val="22"/>
              </w:rPr>
            </w:pPr>
            <w:r w:rsidRPr="00C56EB1">
              <w:rPr>
                <w:rFonts w:ascii="Arial" w:hAnsi="Arial" w:cs="Arial"/>
                <w:b/>
                <w:sz w:val="22"/>
                <w:szCs w:val="22"/>
              </w:rPr>
              <w:t xml:space="preserve">Individuales: </w:t>
            </w:r>
            <w:r w:rsidRPr="00C56EB1">
              <w:rPr>
                <w:rFonts w:ascii="Arial" w:hAnsi="Arial" w:cs="Arial"/>
                <w:bCs/>
                <w:sz w:val="22"/>
                <w:szCs w:val="22"/>
                <w:lang w:val="es-MX"/>
              </w:rPr>
              <w:t>En  estas actividades se pretende comprobar la capacidad de análisis y síntesis  que el estudiante hace con respecto a la información que recibe como el parcial.</w:t>
            </w:r>
          </w:p>
          <w:p w:rsidR="002D7A91" w:rsidRPr="00C56EB1" w:rsidRDefault="002D7A91" w:rsidP="002D7A91">
            <w:pPr>
              <w:spacing w:line="276" w:lineRule="auto"/>
              <w:jc w:val="both"/>
              <w:rPr>
                <w:rFonts w:ascii="Arial" w:hAnsi="Arial" w:cs="Arial"/>
                <w:bCs/>
                <w:sz w:val="22"/>
                <w:szCs w:val="22"/>
                <w:lang w:val="es-MX"/>
              </w:rPr>
            </w:pPr>
          </w:p>
          <w:p w:rsidR="002D7A91" w:rsidRPr="00C56EB1" w:rsidRDefault="002D7A91" w:rsidP="002D7A91">
            <w:pPr>
              <w:spacing w:line="276" w:lineRule="auto"/>
              <w:jc w:val="both"/>
              <w:rPr>
                <w:rFonts w:ascii="Arial" w:hAnsi="Arial" w:cs="Arial"/>
                <w:sz w:val="22"/>
                <w:szCs w:val="22"/>
                <w:lang w:val="es-CO"/>
              </w:rPr>
            </w:pPr>
            <w:r w:rsidRPr="00C56EB1">
              <w:rPr>
                <w:rFonts w:ascii="Arial" w:hAnsi="Arial" w:cs="Arial"/>
                <w:b/>
                <w:bCs/>
                <w:sz w:val="22"/>
                <w:szCs w:val="22"/>
                <w:lang w:val="es-MX"/>
              </w:rPr>
              <w:t>Colaborativas:</w:t>
            </w:r>
            <w:r w:rsidRPr="00C56EB1">
              <w:rPr>
                <w:rFonts w:ascii="Arial" w:hAnsi="Arial" w:cs="Arial"/>
                <w:sz w:val="22"/>
                <w:szCs w:val="22"/>
                <w:lang w:val="es-CO"/>
              </w:rPr>
              <w:t xml:space="preserve"> Estas actividades promueven en el estudiante la capacidad de trabajar en equipo, el manejo de responsabilidades frente a un grupo; permiten observar cómo se comporta el estudiante frente a personas que piensan y actúan de forma diferente y como se manejan los conflictos en un trabajo en equipo para el logro de unos objetivos comunes.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2D7A91" w:rsidRPr="00C56EB1" w:rsidRDefault="002D7A91" w:rsidP="002D7A91">
            <w:pPr>
              <w:spacing w:line="276" w:lineRule="auto"/>
              <w:jc w:val="both"/>
              <w:rPr>
                <w:rFonts w:ascii="Arial" w:hAnsi="Arial" w:cs="Arial"/>
                <w:sz w:val="22"/>
                <w:szCs w:val="22"/>
                <w:lang w:val="es-CO"/>
              </w:rPr>
            </w:pPr>
            <w:r w:rsidRPr="00C56EB1">
              <w:rPr>
                <w:rFonts w:ascii="Arial" w:hAnsi="Arial" w:cs="Arial"/>
                <w:sz w:val="22"/>
                <w:szCs w:val="22"/>
              </w:rPr>
              <w:t>Todos los trabajos, ejercicios, exposiciones y entrevistas serán resueltos bajo l</w:t>
            </w:r>
            <w:r w:rsidRPr="00C56EB1">
              <w:rPr>
                <w:rFonts w:ascii="Arial" w:hAnsi="Arial" w:cs="Arial"/>
                <w:sz w:val="22"/>
                <w:szCs w:val="22"/>
                <w:lang w:val="es-CO"/>
              </w:rPr>
              <w:t xml:space="preserve">os </w:t>
            </w:r>
            <w:r w:rsidRPr="00C56EB1">
              <w:rPr>
                <w:rFonts w:ascii="Arial" w:hAnsi="Arial" w:cs="Arial"/>
                <w:b/>
                <w:sz w:val="22"/>
                <w:szCs w:val="22"/>
                <w:lang w:val="es-CO"/>
              </w:rPr>
              <w:t>criterios</w:t>
            </w:r>
            <w:r w:rsidRPr="00C56EB1">
              <w:rPr>
                <w:rFonts w:ascii="Arial" w:hAnsi="Arial" w:cs="Arial"/>
                <w:sz w:val="22"/>
                <w:szCs w:val="22"/>
                <w:lang w:val="es-CO"/>
              </w:rPr>
              <w:t xml:space="preserve"> de evaluación que muestren los parámetros que se tienen en cuenta para evaluar una actividad y su valor porcentual dentro de la nota que le corresponde y las rúbricas que describen y aclaran las habilidades que se deben mostrar en la elaboración de los trabajos, lo cual será facilitado por el docente.</w:t>
            </w:r>
          </w:p>
          <w:p w:rsidR="002D7A91" w:rsidRPr="00C56EB1" w:rsidRDefault="002D7A91" w:rsidP="002D7A91">
            <w:pPr>
              <w:spacing w:line="276" w:lineRule="auto"/>
              <w:jc w:val="both"/>
              <w:rPr>
                <w:rFonts w:ascii="Arial" w:hAnsi="Arial" w:cs="Arial"/>
                <w:sz w:val="22"/>
                <w:szCs w:val="22"/>
                <w:lang w:val="es-CO"/>
              </w:rPr>
            </w:pPr>
          </w:p>
          <w:p w:rsidR="002D7A91" w:rsidRPr="00C56EB1" w:rsidRDefault="002D7A91" w:rsidP="002D7A91">
            <w:pPr>
              <w:spacing w:line="276" w:lineRule="auto"/>
              <w:jc w:val="both"/>
              <w:rPr>
                <w:rFonts w:ascii="Arial" w:hAnsi="Arial" w:cs="Arial"/>
                <w:b/>
                <w:sz w:val="22"/>
                <w:szCs w:val="22"/>
                <w:u w:val="single"/>
                <w:lang w:val="es-CO"/>
              </w:rPr>
            </w:pPr>
            <w:r w:rsidRPr="00C56EB1">
              <w:rPr>
                <w:rFonts w:ascii="Arial" w:hAnsi="Arial" w:cs="Arial"/>
                <w:b/>
                <w:sz w:val="22"/>
                <w:szCs w:val="22"/>
                <w:u w:val="single"/>
                <w:lang w:val="es-CO"/>
              </w:rPr>
              <w:t>Valoración de la evaluación</w:t>
            </w:r>
          </w:p>
          <w:p w:rsidR="002D7A91" w:rsidRPr="00C56EB1" w:rsidRDefault="002D7A91" w:rsidP="002D7A91">
            <w:pPr>
              <w:spacing w:line="276" w:lineRule="auto"/>
              <w:jc w:val="both"/>
              <w:rPr>
                <w:rFonts w:ascii="Arial" w:hAnsi="Arial" w:cs="Arial"/>
                <w:b/>
                <w:sz w:val="22"/>
                <w:szCs w:val="22"/>
                <w:u w:val="single"/>
                <w:lang w:val="es-CO"/>
              </w:rPr>
            </w:pPr>
          </w:p>
          <w:p w:rsidR="002D7A91" w:rsidRPr="00C56EB1" w:rsidRDefault="002D7A91" w:rsidP="002D7A91">
            <w:pPr>
              <w:spacing w:line="276" w:lineRule="auto"/>
              <w:jc w:val="both"/>
              <w:rPr>
                <w:rFonts w:ascii="Arial" w:hAnsi="Arial" w:cs="Arial"/>
                <w:sz w:val="22"/>
                <w:szCs w:val="22"/>
                <w:lang w:val="es-CO"/>
              </w:rPr>
            </w:pPr>
            <w:r w:rsidRPr="00C56EB1">
              <w:rPr>
                <w:rFonts w:ascii="Arial" w:hAnsi="Arial" w:cs="Arial"/>
                <w:sz w:val="22"/>
                <w:szCs w:val="22"/>
                <w:lang w:val="es-CO"/>
              </w:rPr>
              <w:t>Primer corte 35%: trabajos: 100%</w:t>
            </w:r>
          </w:p>
          <w:p w:rsidR="002D7A91" w:rsidRPr="00C56EB1" w:rsidRDefault="002D7A91" w:rsidP="002D7A91">
            <w:pPr>
              <w:spacing w:line="276" w:lineRule="auto"/>
              <w:jc w:val="both"/>
              <w:rPr>
                <w:rFonts w:ascii="Arial" w:hAnsi="Arial" w:cs="Arial"/>
                <w:sz w:val="22"/>
                <w:szCs w:val="22"/>
                <w:lang w:val="es-CO"/>
              </w:rPr>
            </w:pPr>
            <w:r w:rsidRPr="00C56EB1">
              <w:rPr>
                <w:rFonts w:ascii="Arial" w:hAnsi="Arial" w:cs="Arial"/>
                <w:sz w:val="22"/>
                <w:szCs w:val="22"/>
                <w:lang w:val="es-CO"/>
              </w:rPr>
              <w:t>Segundo corte 35%: trabajos: 100%</w:t>
            </w:r>
          </w:p>
          <w:p w:rsidR="009D3B04" w:rsidRDefault="002D7A91" w:rsidP="002D7A91">
            <w:pPr>
              <w:rPr>
                <w:rFonts w:ascii="Arial" w:hAnsi="Arial" w:cs="Arial"/>
                <w:color w:val="0F243E" w:themeColor="text2" w:themeShade="80"/>
              </w:rPr>
            </w:pPr>
            <w:r w:rsidRPr="00C56EB1">
              <w:rPr>
                <w:rFonts w:ascii="Arial" w:hAnsi="Arial" w:cs="Arial"/>
                <w:sz w:val="22"/>
                <w:szCs w:val="22"/>
                <w:lang w:val="es-CO"/>
              </w:rPr>
              <w:t>Tercer corte 30%: trabajo final</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2D7A91" w:rsidRPr="00654218" w:rsidRDefault="002D7A91" w:rsidP="002D7A91">
            <w:pPr>
              <w:autoSpaceDE w:val="0"/>
              <w:autoSpaceDN w:val="0"/>
              <w:adjustRightInd w:val="0"/>
              <w:spacing w:line="276" w:lineRule="auto"/>
              <w:jc w:val="both"/>
              <w:rPr>
                <w:rFonts w:ascii="Arial" w:hAnsi="Arial" w:cs="Arial"/>
                <w:sz w:val="22"/>
                <w:szCs w:val="22"/>
                <w:lang w:eastAsia="es-AR"/>
              </w:rPr>
            </w:pPr>
            <w:r w:rsidRPr="00654218">
              <w:rPr>
                <w:rFonts w:ascii="Arial" w:hAnsi="Arial" w:cs="Arial"/>
                <w:sz w:val="22"/>
                <w:szCs w:val="22"/>
                <w:lang w:eastAsia="es-AR"/>
              </w:rPr>
              <w:t>GIBBONS. R. 1992. Un primer curso de teoría de juegos. Antoni Bosch Editor.</w:t>
            </w:r>
          </w:p>
          <w:p w:rsidR="002D7A91" w:rsidRDefault="002D7A91" w:rsidP="002D7A91">
            <w:pPr>
              <w:spacing w:line="276" w:lineRule="auto"/>
              <w:contextualSpacing/>
              <w:jc w:val="both"/>
              <w:rPr>
                <w:rFonts w:ascii="Arial" w:hAnsi="Arial" w:cs="Arial"/>
                <w:sz w:val="22"/>
                <w:szCs w:val="22"/>
              </w:rPr>
            </w:pPr>
          </w:p>
          <w:p w:rsidR="002D7A91" w:rsidRPr="00654218" w:rsidRDefault="002D7A91" w:rsidP="002D7A91">
            <w:pPr>
              <w:spacing w:line="276" w:lineRule="auto"/>
              <w:contextualSpacing/>
              <w:jc w:val="both"/>
              <w:rPr>
                <w:rFonts w:ascii="Arial" w:hAnsi="Arial" w:cs="Arial"/>
                <w:sz w:val="22"/>
                <w:szCs w:val="22"/>
              </w:rPr>
            </w:pPr>
            <w:r w:rsidRPr="00654218">
              <w:rPr>
                <w:rFonts w:ascii="Arial" w:hAnsi="Arial" w:cs="Arial"/>
                <w:sz w:val="22"/>
                <w:szCs w:val="22"/>
                <w:lang w:eastAsia="es-AR"/>
              </w:rPr>
              <w:t>HAERINGER,  Guillaume (2004). Teoría de juegos y de las decisiones. Curso académico.</w:t>
            </w:r>
          </w:p>
          <w:p w:rsidR="002D7A91" w:rsidRDefault="002D7A91" w:rsidP="002D7A91">
            <w:pPr>
              <w:autoSpaceDE w:val="0"/>
              <w:autoSpaceDN w:val="0"/>
              <w:adjustRightInd w:val="0"/>
              <w:spacing w:line="276" w:lineRule="auto"/>
              <w:jc w:val="both"/>
              <w:rPr>
                <w:rFonts w:ascii="Arial" w:hAnsi="Arial" w:cs="Arial"/>
                <w:sz w:val="22"/>
                <w:szCs w:val="22"/>
                <w:lang w:eastAsia="es-AR"/>
              </w:rPr>
            </w:pPr>
          </w:p>
          <w:p w:rsidR="002D7A91" w:rsidRPr="00C56EB1" w:rsidRDefault="002D7A91" w:rsidP="002D7A91">
            <w:pPr>
              <w:autoSpaceDE w:val="0"/>
              <w:autoSpaceDN w:val="0"/>
              <w:adjustRightInd w:val="0"/>
              <w:spacing w:line="276" w:lineRule="auto"/>
              <w:jc w:val="both"/>
              <w:rPr>
                <w:rFonts w:ascii="Arial" w:hAnsi="Arial" w:cs="Arial"/>
                <w:sz w:val="22"/>
                <w:szCs w:val="22"/>
                <w:lang w:eastAsia="es-AR"/>
              </w:rPr>
            </w:pPr>
            <w:r w:rsidRPr="00654218">
              <w:rPr>
                <w:rFonts w:ascii="Arial" w:hAnsi="Arial" w:cs="Arial"/>
                <w:sz w:val="22"/>
                <w:szCs w:val="22"/>
                <w:lang w:eastAsia="es-AR"/>
              </w:rPr>
              <w:t>KREPS, D.M. (1995). Curso de Teor</w:t>
            </w:r>
            <w:r>
              <w:rPr>
                <w:rFonts w:ascii="Arial" w:hAnsi="Arial" w:cs="Arial"/>
                <w:sz w:val="22"/>
                <w:szCs w:val="22"/>
                <w:lang w:eastAsia="es-AR"/>
              </w:rPr>
              <w:t xml:space="preserve">ía Microeconómica, McGraw-Hill </w:t>
            </w:r>
          </w:p>
          <w:p w:rsidR="002D7A91" w:rsidRPr="00654218" w:rsidRDefault="002D7A91" w:rsidP="002D7A91">
            <w:pPr>
              <w:spacing w:line="276" w:lineRule="auto"/>
              <w:contextualSpacing/>
              <w:jc w:val="both"/>
              <w:rPr>
                <w:rFonts w:ascii="Arial" w:hAnsi="Arial" w:cs="Arial"/>
                <w:sz w:val="22"/>
                <w:szCs w:val="22"/>
              </w:rPr>
            </w:pPr>
          </w:p>
          <w:p w:rsidR="002D7A91" w:rsidRPr="00654218" w:rsidRDefault="002D7A91" w:rsidP="002D7A91">
            <w:pPr>
              <w:spacing w:line="276" w:lineRule="auto"/>
              <w:contextualSpacing/>
              <w:jc w:val="both"/>
              <w:rPr>
                <w:rFonts w:ascii="Arial" w:hAnsi="Arial" w:cs="Arial"/>
                <w:sz w:val="22"/>
                <w:szCs w:val="22"/>
              </w:rPr>
            </w:pPr>
            <w:r w:rsidRPr="00654218">
              <w:rPr>
                <w:rFonts w:ascii="Arial" w:hAnsi="Arial" w:cs="Arial"/>
                <w:sz w:val="22"/>
                <w:szCs w:val="22"/>
              </w:rPr>
              <w:t>MONSALVE, Se</w:t>
            </w:r>
            <w:r>
              <w:rPr>
                <w:rFonts w:ascii="Arial" w:hAnsi="Arial" w:cs="Arial"/>
                <w:sz w:val="22"/>
                <w:szCs w:val="22"/>
              </w:rPr>
              <w:t>r</w:t>
            </w:r>
            <w:r w:rsidRPr="00654218">
              <w:rPr>
                <w:rFonts w:ascii="Arial" w:hAnsi="Arial" w:cs="Arial"/>
                <w:sz w:val="22"/>
                <w:szCs w:val="22"/>
              </w:rPr>
              <w:t>gio y AREVALO, Julián (2005). Un curso de teoría de juegos clásica. Universidad Externado de Colombia. Bogotá.</w:t>
            </w:r>
          </w:p>
          <w:p w:rsidR="002D7A91" w:rsidRDefault="002D7A91" w:rsidP="002D7A91">
            <w:pPr>
              <w:autoSpaceDE w:val="0"/>
              <w:autoSpaceDN w:val="0"/>
              <w:adjustRightInd w:val="0"/>
              <w:spacing w:line="276" w:lineRule="auto"/>
              <w:jc w:val="both"/>
              <w:rPr>
                <w:rFonts w:ascii="Arial" w:hAnsi="Arial" w:cs="Arial"/>
                <w:sz w:val="22"/>
                <w:szCs w:val="22"/>
                <w:lang w:eastAsia="es-AR"/>
              </w:rPr>
            </w:pPr>
          </w:p>
          <w:p w:rsidR="002D7A91" w:rsidRPr="00654218" w:rsidRDefault="002D7A91" w:rsidP="002D7A91">
            <w:pPr>
              <w:autoSpaceDE w:val="0"/>
              <w:autoSpaceDN w:val="0"/>
              <w:adjustRightInd w:val="0"/>
              <w:spacing w:line="276" w:lineRule="auto"/>
              <w:jc w:val="both"/>
              <w:rPr>
                <w:rFonts w:ascii="Arial" w:hAnsi="Arial" w:cs="Arial"/>
                <w:sz w:val="22"/>
                <w:szCs w:val="22"/>
                <w:lang w:eastAsia="es-AR"/>
              </w:rPr>
            </w:pPr>
            <w:r w:rsidRPr="00654218">
              <w:rPr>
                <w:rFonts w:ascii="Arial" w:hAnsi="Arial" w:cs="Arial"/>
                <w:sz w:val="22"/>
                <w:szCs w:val="22"/>
                <w:lang w:eastAsia="es-AR"/>
              </w:rPr>
              <w:t>PÉREZ NAVARRO, J. Jimeno, J. Cerda, E. 2004. Teoría de Juegos. Prentice Hall.</w:t>
            </w:r>
          </w:p>
          <w:p w:rsidR="002D7A91" w:rsidRPr="00654218" w:rsidRDefault="002D7A91" w:rsidP="002D7A91">
            <w:pPr>
              <w:spacing w:line="276" w:lineRule="auto"/>
              <w:contextualSpacing/>
              <w:jc w:val="both"/>
              <w:rPr>
                <w:rFonts w:ascii="Arial" w:hAnsi="Arial" w:cs="Arial"/>
                <w:sz w:val="22"/>
                <w:szCs w:val="22"/>
              </w:rPr>
            </w:pPr>
            <w:r w:rsidRPr="00654218">
              <w:rPr>
                <w:rFonts w:ascii="Arial" w:hAnsi="Arial" w:cs="Arial"/>
                <w:sz w:val="22"/>
                <w:szCs w:val="22"/>
              </w:rPr>
              <w:t xml:space="preserve"> </w:t>
            </w: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p>
          <w:p w:rsidR="009D3B04" w:rsidRPr="002D7A91" w:rsidRDefault="002D7A91" w:rsidP="00CC21F3">
            <w:pPr>
              <w:rPr>
                <w:rFonts w:ascii="Arial" w:hAnsi="Arial" w:cs="Arial"/>
                <w:color w:val="0F243E" w:themeColor="text2" w:themeShade="80"/>
              </w:rPr>
            </w:pPr>
            <w:r>
              <w:rPr>
                <w:rFonts w:ascii="Arial" w:hAnsi="Arial" w:cs="Arial"/>
                <w:color w:val="0F243E" w:themeColor="text2" w:themeShade="80"/>
              </w:rPr>
              <w:t xml:space="preserve">Uso obligado de sala de sistemas con </w:t>
            </w:r>
            <w:proofErr w:type="spellStart"/>
            <w:r>
              <w:rPr>
                <w:rFonts w:ascii="Arial" w:hAnsi="Arial" w:cs="Arial"/>
                <w:color w:val="0F243E" w:themeColor="text2" w:themeShade="80"/>
              </w:rPr>
              <w:t>videobeam</w:t>
            </w:r>
            <w:proofErr w:type="spellEnd"/>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9D3B04" w:rsidRPr="002D7A91" w:rsidRDefault="002D7A91" w:rsidP="00CC21F3">
            <w:pPr>
              <w:rPr>
                <w:rFonts w:ascii="Arial" w:hAnsi="Arial" w:cs="Arial"/>
                <w:color w:val="0F243E" w:themeColor="text2" w:themeShade="80"/>
              </w:rPr>
            </w:pPr>
            <w:r>
              <w:rPr>
                <w:rFonts w:ascii="Arial" w:hAnsi="Arial" w:cs="Arial"/>
                <w:color w:val="0F243E" w:themeColor="text2" w:themeShade="80"/>
              </w:rPr>
              <w:t>Excel</w:t>
            </w:r>
            <w:r w:rsidR="003D0199">
              <w:rPr>
                <w:rFonts w:ascii="Arial" w:hAnsi="Arial" w:cs="Arial"/>
                <w:color w:val="0F243E" w:themeColor="text2" w:themeShade="80"/>
              </w:rPr>
              <w:t xml:space="preserve"> – simuladores.</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2FF" w:rsidRDefault="001632FF">
      <w:r>
        <w:separator/>
      </w:r>
    </w:p>
  </w:endnote>
  <w:endnote w:type="continuationSeparator" w:id="0">
    <w:p w:rsidR="001632FF" w:rsidRDefault="0016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1632FF" w:rsidP="00F60130">
                          <w:pPr>
                            <w:jc w:val="center"/>
                            <w:rPr>
                              <w:rFonts w:ascii="Myriad Pro" w:hAnsi="Myriad Pro"/>
                              <w:b/>
                              <w:sz w:val="16"/>
                              <w:szCs w:val="16"/>
                            </w:rPr>
                          </w:pPr>
                        </w:p>
                        <w:p w:rsidR="00133C1C" w:rsidRDefault="001632FF"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317E3E" w:rsidP="00F60130">
                    <w:pPr>
                      <w:jc w:val="center"/>
                      <w:rPr>
                        <w:rFonts w:ascii="Myriad Pro" w:hAnsi="Myriad Pro"/>
                        <w:b/>
                        <w:sz w:val="16"/>
                        <w:szCs w:val="16"/>
                      </w:rPr>
                    </w:pPr>
                  </w:p>
                  <w:p w:rsidR="00133C1C" w:rsidRDefault="00317E3E"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2FF" w:rsidRDefault="001632FF">
      <w:r>
        <w:separator/>
      </w:r>
    </w:p>
  </w:footnote>
  <w:footnote w:type="continuationSeparator" w:id="0">
    <w:p w:rsidR="001632FF" w:rsidRDefault="00163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1632F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B35E5">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B35E5">
                              <w:rPr>
                                <w:rFonts w:ascii="Tahoma" w:hAnsi="Tahoma" w:cs="Tahoma"/>
                                <w:bCs/>
                                <w:noProof/>
                                <w:sz w:val="14"/>
                                <w:szCs w:val="12"/>
                              </w:rPr>
                              <w:t>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B35E5">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B35E5">
                        <w:rPr>
                          <w:rFonts w:ascii="Tahoma" w:hAnsi="Tahoma" w:cs="Tahoma"/>
                          <w:bCs/>
                          <w:noProof/>
                          <w:sz w:val="14"/>
                          <w:szCs w:val="12"/>
                        </w:rPr>
                        <w:t>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1632F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61473"/>
    <w:multiLevelType w:val="hybridMultilevel"/>
    <w:tmpl w:val="49747D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ED31D56"/>
    <w:multiLevelType w:val="multilevel"/>
    <w:tmpl w:val="17C68594"/>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CC94EC0"/>
    <w:multiLevelType w:val="hybridMultilevel"/>
    <w:tmpl w:val="EA5A1A1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9">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6D272D5A"/>
    <w:multiLevelType w:val="hybridMultilevel"/>
    <w:tmpl w:val="3B9E914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2544FEE"/>
    <w:multiLevelType w:val="hybridMultilevel"/>
    <w:tmpl w:val="00565A36"/>
    <w:lvl w:ilvl="0" w:tplc="240A000D">
      <w:start w:val="1"/>
      <w:numFmt w:val="bullet"/>
      <w:lvlText w:val=""/>
      <w:lvlJc w:val="left"/>
      <w:pPr>
        <w:ind w:left="775" w:hanging="360"/>
      </w:pPr>
      <w:rPr>
        <w:rFonts w:ascii="Wingdings" w:hAnsi="Wingdings" w:hint="default"/>
      </w:rPr>
    </w:lvl>
    <w:lvl w:ilvl="1" w:tplc="240A0003" w:tentative="1">
      <w:start w:val="1"/>
      <w:numFmt w:val="bullet"/>
      <w:lvlText w:val="o"/>
      <w:lvlJc w:val="left"/>
      <w:pPr>
        <w:ind w:left="1495" w:hanging="360"/>
      </w:pPr>
      <w:rPr>
        <w:rFonts w:ascii="Courier New" w:hAnsi="Courier New" w:cs="Courier New" w:hint="default"/>
      </w:rPr>
    </w:lvl>
    <w:lvl w:ilvl="2" w:tplc="240A0005" w:tentative="1">
      <w:start w:val="1"/>
      <w:numFmt w:val="bullet"/>
      <w:lvlText w:val=""/>
      <w:lvlJc w:val="left"/>
      <w:pPr>
        <w:ind w:left="2215" w:hanging="360"/>
      </w:pPr>
      <w:rPr>
        <w:rFonts w:ascii="Wingdings" w:hAnsi="Wingdings" w:hint="default"/>
      </w:rPr>
    </w:lvl>
    <w:lvl w:ilvl="3" w:tplc="240A0001" w:tentative="1">
      <w:start w:val="1"/>
      <w:numFmt w:val="bullet"/>
      <w:lvlText w:val=""/>
      <w:lvlJc w:val="left"/>
      <w:pPr>
        <w:ind w:left="2935" w:hanging="360"/>
      </w:pPr>
      <w:rPr>
        <w:rFonts w:ascii="Symbol" w:hAnsi="Symbol" w:hint="default"/>
      </w:rPr>
    </w:lvl>
    <w:lvl w:ilvl="4" w:tplc="240A0003" w:tentative="1">
      <w:start w:val="1"/>
      <w:numFmt w:val="bullet"/>
      <w:lvlText w:val="o"/>
      <w:lvlJc w:val="left"/>
      <w:pPr>
        <w:ind w:left="3655" w:hanging="360"/>
      </w:pPr>
      <w:rPr>
        <w:rFonts w:ascii="Courier New" w:hAnsi="Courier New" w:cs="Courier New" w:hint="default"/>
      </w:rPr>
    </w:lvl>
    <w:lvl w:ilvl="5" w:tplc="240A0005" w:tentative="1">
      <w:start w:val="1"/>
      <w:numFmt w:val="bullet"/>
      <w:lvlText w:val=""/>
      <w:lvlJc w:val="left"/>
      <w:pPr>
        <w:ind w:left="4375" w:hanging="360"/>
      </w:pPr>
      <w:rPr>
        <w:rFonts w:ascii="Wingdings" w:hAnsi="Wingdings" w:hint="default"/>
      </w:rPr>
    </w:lvl>
    <w:lvl w:ilvl="6" w:tplc="240A0001" w:tentative="1">
      <w:start w:val="1"/>
      <w:numFmt w:val="bullet"/>
      <w:lvlText w:val=""/>
      <w:lvlJc w:val="left"/>
      <w:pPr>
        <w:ind w:left="5095" w:hanging="360"/>
      </w:pPr>
      <w:rPr>
        <w:rFonts w:ascii="Symbol" w:hAnsi="Symbol" w:hint="default"/>
      </w:rPr>
    </w:lvl>
    <w:lvl w:ilvl="7" w:tplc="240A0003" w:tentative="1">
      <w:start w:val="1"/>
      <w:numFmt w:val="bullet"/>
      <w:lvlText w:val="o"/>
      <w:lvlJc w:val="left"/>
      <w:pPr>
        <w:ind w:left="5815" w:hanging="360"/>
      </w:pPr>
      <w:rPr>
        <w:rFonts w:ascii="Courier New" w:hAnsi="Courier New" w:cs="Courier New" w:hint="default"/>
      </w:rPr>
    </w:lvl>
    <w:lvl w:ilvl="8" w:tplc="240A0005" w:tentative="1">
      <w:start w:val="1"/>
      <w:numFmt w:val="bullet"/>
      <w:lvlText w:val=""/>
      <w:lvlJc w:val="left"/>
      <w:pPr>
        <w:ind w:left="6535" w:hanging="360"/>
      </w:pPr>
      <w:rPr>
        <w:rFonts w:ascii="Wingdings" w:hAnsi="Wingdings" w:hint="default"/>
      </w:rPr>
    </w:lvl>
  </w:abstractNum>
  <w:abstractNum w:abstractNumId="39">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4"/>
  </w:num>
  <w:num w:numId="3">
    <w:abstractNumId w:val="31"/>
  </w:num>
  <w:num w:numId="4">
    <w:abstractNumId w:val="44"/>
  </w:num>
  <w:num w:numId="5">
    <w:abstractNumId w:val="35"/>
  </w:num>
  <w:num w:numId="6">
    <w:abstractNumId w:val="23"/>
  </w:num>
  <w:num w:numId="7">
    <w:abstractNumId w:val="41"/>
  </w:num>
  <w:num w:numId="8">
    <w:abstractNumId w:val="29"/>
  </w:num>
  <w:num w:numId="9">
    <w:abstractNumId w:val="5"/>
  </w:num>
  <w:num w:numId="10">
    <w:abstractNumId w:val="27"/>
  </w:num>
  <w:num w:numId="11">
    <w:abstractNumId w:val="12"/>
  </w:num>
  <w:num w:numId="12">
    <w:abstractNumId w:val="8"/>
  </w:num>
  <w:num w:numId="13">
    <w:abstractNumId w:val="42"/>
  </w:num>
  <w:num w:numId="14">
    <w:abstractNumId w:val="30"/>
  </w:num>
  <w:num w:numId="15">
    <w:abstractNumId w:val="6"/>
  </w:num>
  <w:num w:numId="16">
    <w:abstractNumId w:val="25"/>
  </w:num>
  <w:num w:numId="17">
    <w:abstractNumId w:val="22"/>
  </w:num>
  <w:num w:numId="18">
    <w:abstractNumId w:val="43"/>
  </w:num>
  <w:num w:numId="19">
    <w:abstractNumId w:val="39"/>
  </w:num>
  <w:num w:numId="20">
    <w:abstractNumId w:val="21"/>
  </w:num>
  <w:num w:numId="21">
    <w:abstractNumId w:val="37"/>
  </w:num>
  <w:num w:numId="22">
    <w:abstractNumId w:val="7"/>
  </w:num>
  <w:num w:numId="23">
    <w:abstractNumId w:val="20"/>
  </w:num>
  <w:num w:numId="24">
    <w:abstractNumId w:val="24"/>
  </w:num>
  <w:num w:numId="25">
    <w:abstractNumId w:val="19"/>
  </w:num>
  <w:num w:numId="26">
    <w:abstractNumId w:val="26"/>
  </w:num>
  <w:num w:numId="27">
    <w:abstractNumId w:val="2"/>
  </w:num>
  <w:num w:numId="28">
    <w:abstractNumId w:val="3"/>
  </w:num>
  <w:num w:numId="29">
    <w:abstractNumId w:val="10"/>
  </w:num>
  <w:num w:numId="30">
    <w:abstractNumId w:val="4"/>
  </w:num>
  <w:num w:numId="31">
    <w:abstractNumId w:val="33"/>
  </w:num>
  <w:num w:numId="32">
    <w:abstractNumId w:val="32"/>
  </w:num>
  <w:num w:numId="33">
    <w:abstractNumId w:val="14"/>
  </w:num>
  <w:num w:numId="34">
    <w:abstractNumId w:val="15"/>
  </w:num>
  <w:num w:numId="35">
    <w:abstractNumId w:val="1"/>
  </w:num>
  <w:num w:numId="36">
    <w:abstractNumId w:val="40"/>
  </w:num>
  <w:num w:numId="37">
    <w:abstractNumId w:val="16"/>
  </w:num>
  <w:num w:numId="38">
    <w:abstractNumId w:val="9"/>
  </w:num>
  <w:num w:numId="39">
    <w:abstractNumId w:val="11"/>
  </w:num>
  <w:num w:numId="40">
    <w:abstractNumId w:val="18"/>
  </w:num>
  <w:num w:numId="41">
    <w:abstractNumId w:val="38"/>
  </w:num>
  <w:num w:numId="42">
    <w:abstractNumId w:val="28"/>
  </w:num>
  <w:num w:numId="43">
    <w:abstractNumId w:val="0"/>
  </w:num>
  <w:num w:numId="44">
    <w:abstractNumId w:val="13"/>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1045BF"/>
    <w:rsid w:val="001632FF"/>
    <w:rsid w:val="00236726"/>
    <w:rsid w:val="00244DD7"/>
    <w:rsid w:val="002D7A91"/>
    <w:rsid w:val="00317E3E"/>
    <w:rsid w:val="00373F2F"/>
    <w:rsid w:val="003D0199"/>
    <w:rsid w:val="005307D9"/>
    <w:rsid w:val="00623E53"/>
    <w:rsid w:val="00632BC7"/>
    <w:rsid w:val="006B35E5"/>
    <w:rsid w:val="006D55C1"/>
    <w:rsid w:val="007B7482"/>
    <w:rsid w:val="009D3B04"/>
    <w:rsid w:val="00A0083B"/>
    <w:rsid w:val="00A728D1"/>
    <w:rsid w:val="00B3659A"/>
    <w:rsid w:val="00CC116E"/>
    <w:rsid w:val="00CD6BED"/>
    <w:rsid w:val="00CF549B"/>
    <w:rsid w:val="00D15C96"/>
    <w:rsid w:val="00D40E14"/>
    <w:rsid w:val="00D97B5F"/>
    <w:rsid w:val="00E50269"/>
    <w:rsid w:val="00ED662E"/>
    <w:rsid w:val="00F26635"/>
    <w:rsid w:val="00F53CFB"/>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7BB9FEF6-14E4-41B7-B6E9-1C01FDC00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Subttulo">
    <w:name w:val="Subtitle"/>
    <w:basedOn w:val="Normal"/>
    <w:link w:val="SubttuloCar"/>
    <w:qFormat/>
    <w:rsid w:val="002D7A91"/>
    <w:pPr>
      <w:jc w:val="center"/>
    </w:pPr>
    <w:rPr>
      <w:b/>
      <w:szCs w:val="20"/>
      <w:lang w:eastAsia="es-CO"/>
    </w:rPr>
  </w:style>
  <w:style w:type="character" w:customStyle="1" w:styleId="SubttuloCar">
    <w:name w:val="Subtítulo Car"/>
    <w:basedOn w:val="Fuentedeprrafopredeter"/>
    <w:link w:val="Subttulo"/>
    <w:rsid w:val="002D7A91"/>
    <w:rPr>
      <w:rFonts w:ascii="Times New Roman" w:eastAsia="Times New Roman" w:hAnsi="Times New Roman" w:cs="Times New Roman"/>
      <w:b/>
      <w:sz w:val="24"/>
      <w:szCs w:val="20"/>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469F1-866B-42D6-981B-1D58C0F5F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983</Words>
  <Characters>5410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mauricio Gil Leon</cp:lastModifiedBy>
  <cp:revision>5</cp:revision>
  <dcterms:created xsi:type="dcterms:W3CDTF">2015-03-02T10:37:00Z</dcterms:created>
  <dcterms:modified xsi:type="dcterms:W3CDTF">2015-03-02T13:32:00Z</dcterms:modified>
</cp:coreProperties>
</file>